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54600" w14:textId="0365B8AB" w:rsidR="00CE04D2" w:rsidRDefault="00AC3249" w:rsidP="00AC3249">
      <w:pPr>
        <w:pStyle w:val="Title"/>
        <w:pBdr>
          <w:bottom w:val="single" w:sz="4" w:space="1" w:color="auto"/>
        </w:pBdr>
        <w:rPr>
          <w:lang w:val="en-AU"/>
        </w:rPr>
      </w:pPr>
      <w:r>
        <w:rPr>
          <w:lang w:val="en-AU"/>
        </w:rPr>
        <w:t>Protocol – Chronic Kidney Disease</w:t>
      </w:r>
    </w:p>
    <w:p w14:paraId="18AED180" w14:textId="4838AC3C" w:rsidR="00AC3249" w:rsidRDefault="00AC3249" w:rsidP="00AC3249">
      <w:pPr>
        <w:pStyle w:val="Heading1"/>
        <w:rPr>
          <w:lang w:val="en-AU"/>
        </w:rPr>
      </w:pPr>
      <w:r w:rsidRPr="00AC3249">
        <w:rPr>
          <w:lang w:val="en-AU"/>
        </w:rPr>
        <w:t>Diagnosis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6110"/>
      </w:tblGrid>
      <w:tr w:rsidR="004E60E8" w14:paraId="72DF1FD2" w14:textId="77777777" w:rsidTr="004E60E8">
        <w:tc>
          <w:tcPr>
            <w:tcW w:w="3240" w:type="dxa"/>
          </w:tcPr>
          <w:p w14:paraId="733D2F1F" w14:textId="77777777" w:rsidR="004E60E8" w:rsidRDefault="004E60E8" w:rsidP="004E60E8">
            <w:pPr>
              <w:pStyle w:val="Heading2"/>
              <w:outlineLvl w:val="1"/>
              <w:rPr>
                <w:lang w:val="en-AU"/>
              </w:rPr>
            </w:pPr>
            <w:r>
              <w:rPr>
                <w:lang w:val="en-AU"/>
              </w:rPr>
              <w:t>History:</w:t>
            </w:r>
          </w:p>
          <w:p w14:paraId="0D45B03A" w14:textId="77777777" w:rsidR="004E60E8" w:rsidRDefault="004E60E8" w:rsidP="004E60E8">
            <w:pPr>
              <w:ind w:left="45"/>
              <w:rPr>
                <w:lang w:val="en-AU"/>
              </w:rPr>
            </w:pPr>
            <w:r>
              <w:rPr>
                <w:lang w:val="en-AU"/>
              </w:rPr>
              <w:t>May be subclinical in early CKD.</w:t>
            </w:r>
          </w:p>
          <w:p w14:paraId="45864D34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P</w:t>
            </w:r>
            <w:r w:rsidRPr="00AC3249">
              <w:rPr>
                <w:lang w:val="en-AU"/>
              </w:rPr>
              <w:t>olyuria</w:t>
            </w:r>
            <w:r>
              <w:rPr>
                <w:lang w:val="en-AU"/>
              </w:rPr>
              <w:t xml:space="preserve"> &amp; polydipsia</w:t>
            </w:r>
          </w:p>
          <w:p w14:paraId="4C4C9D34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W</w:t>
            </w:r>
            <w:r w:rsidRPr="002D5E07">
              <w:rPr>
                <w:lang w:val="en-AU"/>
              </w:rPr>
              <w:t>eight loss</w:t>
            </w:r>
          </w:p>
          <w:p w14:paraId="3237C183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D</w:t>
            </w:r>
            <w:r w:rsidRPr="002D5E07">
              <w:rPr>
                <w:lang w:val="en-AU"/>
              </w:rPr>
              <w:t>ecreased appetite</w:t>
            </w:r>
          </w:p>
          <w:p w14:paraId="20078E77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L</w:t>
            </w:r>
            <w:r w:rsidRPr="002D5E07">
              <w:rPr>
                <w:lang w:val="en-AU"/>
              </w:rPr>
              <w:t>ethargy</w:t>
            </w:r>
          </w:p>
          <w:p w14:paraId="5CF136D5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D</w:t>
            </w:r>
            <w:r w:rsidRPr="002D5E07">
              <w:rPr>
                <w:lang w:val="en-AU"/>
              </w:rPr>
              <w:t>ehydration</w:t>
            </w:r>
          </w:p>
          <w:p w14:paraId="2CD16DC9" w14:textId="77777777" w:rsidR="004E60E8" w:rsidRDefault="004E60E8" w:rsidP="004E60E8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ind w:left="450"/>
              <w:rPr>
                <w:lang w:val="en-AU"/>
              </w:rPr>
            </w:pPr>
            <w:r>
              <w:rPr>
                <w:lang w:val="en-AU"/>
              </w:rPr>
              <w:t>V</w:t>
            </w:r>
            <w:r w:rsidRPr="002D5E07">
              <w:rPr>
                <w:lang w:val="en-AU"/>
              </w:rPr>
              <w:t>omiting</w:t>
            </w:r>
          </w:p>
          <w:p w14:paraId="4CA4E925" w14:textId="20EBD61A" w:rsidR="004E60E8" w:rsidRPr="004E60E8" w:rsidRDefault="004E60E8" w:rsidP="004E60E8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ind w:left="450"/>
              <w:rPr>
                <w:lang w:val="en-AU"/>
              </w:rPr>
            </w:pPr>
            <w:r w:rsidRPr="002D5E07">
              <w:rPr>
                <w:lang w:val="en-AU"/>
              </w:rPr>
              <w:t>Bad breath.</w:t>
            </w:r>
          </w:p>
        </w:tc>
        <w:tc>
          <w:tcPr>
            <w:tcW w:w="6110" w:type="dxa"/>
          </w:tcPr>
          <w:p w14:paraId="0A624861" w14:textId="4BAA407A" w:rsidR="004E60E8" w:rsidRDefault="004E60E8" w:rsidP="004E60E8">
            <w:pPr>
              <w:pStyle w:val="Heading2"/>
              <w:spacing w:line="259" w:lineRule="auto"/>
              <w:outlineLvl w:val="1"/>
              <w:rPr>
                <w:lang w:val="en-AU"/>
              </w:rPr>
            </w:pPr>
            <w:r>
              <w:rPr>
                <w:lang w:val="en-AU"/>
              </w:rPr>
              <w:t>Physical Examination:</w:t>
            </w:r>
          </w:p>
          <w:p w14:paraId="777F7532" w14:textId="77777777" w:rsidR="004E60E8" w:rsidRDefault="004E60E8" w:rsidP="004E60E8">
            <w:pPr>
              <w:ind w:left="45"/>
              <w:rPr>
                <w:lang w:val="en-AU"/>
              </w:rPr>
            </w:pPr>
            <w:r w:rsidRPr="00AC3249">
              <w:rPr>
                <w:lang w:val="en-AU"/>
              </w:rPr>
              <w:t>Can be normal in early stage CKD.</w:t>
            </w:r>
          </w:p>
          <w:p w14:paraId="6FBFF5B3" w14:textId="77777777" w:rsidR="004E60E8" w:rsidRDefault="004E60E8" w:rsidP="004E60E8">
            <w:pPr>
              <w:pStyle w:val="ListParagraph"/>
              <w:numPr>
                <w:ilvl w:val="0"/>
                <w:numId w:val="3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P</w:t>
            </w:r>
            <w:r w:rsidRPr="00AC3249">
              <w:rPr>
                <w:lang w:val="en-AU"/>
              </w:rPr>
              <w:t>alpable kidney abnormalities</w:t>
            </w:r>
          </w:p>
          <w:p w14:paraId="3241BBA8" w14:textId="77777777" w:rsidR="004E60E8" w:rsidRDefault="004E60E8" w:rsidP="004E60E8">
            <w:pPr>
              <w:pStyle w:val="ListParagraph"/>
              <w:numPr>
                <w:ilvl w:val="0"/>
                <w:numId w:val="3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E</w:t>
            </w:r>
            <w:r w:rsidRPr="00AC3249">
              <w:rPr>
                <w:lang w:val="en-AU"/>
              </w:rPr>
              <w:t>vidence of weight loss</w:t>
            </w:r>
          </w:p>
          <w:p w14:paraId="1EC8D79A" w14:textId="77777777" w:rsidR="004E60E8" w:rsidRDefault="004E60E8" w:rsidP="004E60E8">
            <w:pPr>
              <w:pStyle w:val="ListParagraph"/>
              <w:numPr>
                <w:ilvl w:val="0"/>
                <w:numId w:val="3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D</w:t>
            </w:r>
            <w:r w:rsidRPr="00AC3249">
              <w:rPr>
                <w:lang w:val="en-AU"/>
              </w:rPr>
              <w:t>ehydration</w:t>
            </w:r>
          </w:p>
          <w:p w14:paraId="1A03F1EF" w14:textId="77777777" w:rsidR="004E60E8" w:rsidRDefault="004E60E8" w:rsidP="004E60E8">
            <w:pPr>
              <w:pStyle w:val="ListParagraph"/>
              <w:numPr>
                <w:ilvl w:val="0"/>
                <w:numId w:val="3"/>
              </w:numPr>
              <w:ind w:left="450"/>
              <w:rPr>
                <w:lang w:val="en-AU"/>
              </w:rPr>
            </w:pPr>
            <w:r>
              <w:rPr>
                <w:lang w:val="en-AU"/>
              </w:rPr>
              <w:t>P</w:t>
            </w:r>
            <w:r w:rsidRPr="00AC3249">
              <w:rPr>
                <w:lang w:val="en-AU"/>
              </w:rPr>
              <w:t>ale mucous membranes</w:t>
            </w:r>
          </w:p>
          <w:p w14:paraId="24652023" w14:textId="77777777" w:rsidR="004E60E8" w:rsidRDefault="004E60E8" w:rsidP="004E60E8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ind w:left="450"/>
              <w:rPr>
                <w:lang w:val="en-AU"/>
              </w:rPr>
            </w:pPr>
            <w:r>
              <w:rPr>
                <w:lang w:val="en-AU"/>
              </w:rPr>
              <w:t>U</w:t>
            </w:r>
            <w:r w:rsidRPr="00AC3249">
              <w:rPr>
                <w:lang w:val="en-AU"/>
              </w:rPr>
              <w:t>remic ulcers</w:t>
            </w:r>
          </w:p>
          <w:p w14:paraId="6D911BA9" w14:textId="7E778462" w:rsidR="004E60E8" w:rsidRPr="004E60E8" w:rsidRDefault="004E60E8" w:rsidP="004E60E8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ind w:left="450"/>
              <w:rPr>
                <w:lang w:val="en-AU"/>
              </w:rPr>
            </w:pPr>
            <w:r w:rsidRPr="002D5E07">
              <w:rPr>
                <w:lang w:val="en-AU"/>
              </w:rPr>
              <w:t>Evidence of hypertension, i.e. retinal haemorrhages/detachment.</w:t>
            </w:r>
          </w:p>
        </w:tc>
      </w:tr>
    </w:tbl>
    <w:p w14:paraId="085F588A" w14:textId="392DB657" w:rsidR="004E60E8" w:rsidRDefault="004E60E8" w:rsidP="004E60E8">
      <w:pPr>
        <w:pStyle w:val="Heading2"/>
        <w:rPr>
          <w:lang w:val="en-AU"/>
        </w:rPr>
      </w:pPr>
      <w:r>
        <w:rPr>
          <w:lang w:val="en-AU"/>
        </w:rPr>
        <w:t>Lab Work:</w:t>
      </w:r>
    </w:p>
    <w:p w14:paraId="4D2E341C" w14:textId="77FE9991" w:rsidR="004E60E8" w:rsidRPr="004E60E8" w:rsidRDefault="004E60E8" w:rsidP="004E60E8">
      <w:pPr>
        <w:spacing w:after="0"/>
        <w:rPr>
          <w:b/>
          <w:bCs/>
          <w:lang w:val="en-AU"/>
        </w:rPr>
      </w:pPr>
      <w:r w:rsidRPr="004E60E8">
        <w:rPr>
          <w:b/>
          <w:bCs/>
          <w:lang w:val="en-AU"/>
        </w:rPr>
        <w:t>To diagnose Stage 1 &amp; early Stage 2:</w:t>
      </w:r>
    </w:p>
    <w:p w14:paraId="142481BC" w14:textId="31C99080" w:rsidR="004E60E8" w:rsidRDefault="004E60E8" w:rsidP="004E60E8">
      <w:pPr>
        <w:spacing w:after="0"/>
        <w:rPr>
          <w:lang w:val="en-AU"/>
        </w:rPr>
      </w:pPr>
      <w:r w:rsidRPr="00975C77">
        <w:rPr>
          <w:i/>
          <w:iCs/>
          <w:lang w:val="en-AU"/>
        </w:rPr>
        <w:t>One or more</w:t>
      </w:r>
      <w:r>
        <w:rPr>
          <w:lang w:val="en-AU"/>
        </w:rPr>
        <w:t xml:space="preserve"> of these findings:</w:t>
      </w:r>
    </w:p>
    <w:p w14:paraId="5E951C58" w14:textId="7B11D17E" w:rsidR="004E60E8" w:rsidRDefault="004E60E8" w:rsidP="004E60E8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Creatinine and/or SDMA increasing over time where no prerenal cause is apparent.</w:t>
      </w:r>
    </w:p>
    <w:p w14:paraId="556A3B77" w14:textId="1E378B66" w:rsidR="004E60E8" w:rsidRDefault="004E60E8" w:rsidP="004E60E8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A persistent SDMA of &gt;14 </w:t>
      </w:r>
      <w:proofErr w:type="spellStart"/>
      <w:r>
        <w:rPr>
          <w:rFonts w:ascii="Times New Roman" w:hAnsi="Times New Roman" w:cs="Times New Roman"/>
          <w:lang w:val="en-AU"/>
        </w:rPr>
        <w:t>μ</w:t>
      </w:r>
      <w:r>
        <w:rPr>
          <w:lang w:val="en-AU"/>
        </w:rPr>
        <w:t>g</w:t>
      </w:r>
      <w:proofErr w:type="spellEnd"/>
      <w:r>
        <w:rPr>
          <w:lang w:val="en-AU"/>
        </w:rPr>
        <w:t>/</w:t>
      </w:r>
      <w:proofErr w:type="spellStart"/>
      <w:r>
        <w:rPr>
          <w:lang w:val="en-AU"/>
        </w:rPr>
        <w:t>dL</w:t>
      </w:r>
      <w:proofErr w:type="spellEnd"/>
      <w:r>
        <w:rPr>
          <w:lang w:val="en-AU"/>
        </w:rPr>
        <w:t>.</w:t>
      </w:r>
    </w:p>
    <w:p w14:paraId="2F262BFA" w14:textId="1D67D061" w:rsidR="004E60E8" w:rsidRDefault="004E60E8" w:rsidP="004E60E8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Abnormal kidney imaging.</w:t>
      </w:r>
    </w:p>
    <w:p w14:paraId="10865160" w14:textId="6DEB4A7C" w:rsidR="004E60E8" w:rsidRPr="004E60E8" w:rsidRDefault="004E60E8" w:rsidP="00975C77">
      <w:pPr>
        <w:pStyle w:val="ListParagraph"/>
        <w:numPr>
          <w:ilvl w:val="0"/>
          <w:numId w:val="3"/>
        </w:numPr>
        <w:spacing w:after="0"/>
        <w:rPr>
          <w:lang w:val="en-AU"/>
        </w:rPr>
      </w:pPr>
      <w:r>
        <w:rPr>
          <w:lang w:val="en-AU"/>
        </w:rPr>
        <w:t>Persistent renal proteinuria (UPC &gt;0.5 in dogs; UPC &gt;0.4 in cats).</w:t>
      </w:r>
      <w:r w:rsidRPr="004E60E8">
        <w:rPr>
          <w:noProof/>
        </w:rPr>
        <w:t xml:space="preserve"> </w:t>
      </w:r>
    </w:p>
    <w:p w14:paraId="2244B107" w14:textId="2A389359" w:rsidR="004E60E8" w:rsidRPr="004E60E8" w:rsidRDefault="004E60E8" w:rsidP="004E60E8">
      <w:pPr>
        <w:spacing w:after="0"/>
        <w:ind w:left="45"/>
        <w:rPr>
          <w:b/>
          <w:bCs/>
          <w:lang w:val="en-AU"/>
        </w:rPr>
      </w:pPr>
      <w:r w:rsidRPr="004E60E8">
        <w:rPr>
          <w:b/>
          <w:bCs/>
          <w:lang w:val="en-AU"/>
        </w:rPr>
        <w:t xml:space="preserve">To diagnose </w:t>
      </w:r>
      <w:r>
        <w:rPr>
          <w:b/>
          <w:bCs/>
          <w:lang w:val="en-AU"/>
        </w:rPr>
        <w:t>late Stage 2 – Stage 4</w:t>
      </w:r>
      <w:r w:rsidRPr="004E60E8">
        <w:rPr>
          <w:b/>
          <w:bCs/>
          <w:lang w:val="en-AU"/>
        </w:rPr>
        <w:t>:</w:t>
      </w:r>
    </w:p>
    <w:p w14:paraId="0D6FFD14" w14:textId="576923BF" w:rsidR="004E60E8" w:rsidRDefault="004E60E8" w:rsidP="004E60E8">
      <w:pPr>
        <w:spacing w:after="0"/>
        <w:ind w:left="45"/>
        <w:rPr>
          <w:lang w:val="en-AU"/>
        </w:rPr>
      </w:pPr>
      <w:r w:rsidRPr="00975C77">
        <w:rPr>
          <w:i/>
          <w:iCs/>
          <w:lang w:val="en-AU"/>
        </w:rPr>
        <w:t>Both</w:t>
      </w:r>
      <w:r>
        <w:rPr>
          <w:lang w:val="en-AU"/>
        </w:rPr>
        <w:t xml:space="preserve"> of these findings:</w:t>
      </w:r>
    </w:p>
    <w:p w14:paraId="3782A921" w14:textId="35CA7315" w:rsidR="004E60E8" w:rsidRDefault="004E60E8" w:rsidP="004E60E8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Increased creatinine (&gt;125 </w:t>
      </w:r>
      <w:proofErr w:type="spellStart"/>
      <w:r>
        <w:rPr>
          <w:rFonts w:ascii="Times New Roman" w:hAnsi="Times New Roman" w:cs="Times New Roman"/>
          <w:lang w:val="en-AU"/>
        </w:rPr>
        <w:t>μ</w:t>
      </w:r>
      <w:r>
        <w:rPr>
          <w:lang w:val="en-AU"/>
        </w:rPr>
        <w:t>mol</w:t>
      </w:r>
      <w:proofErr w:type="spellEnd"/>
      <w:r>
        <w:rPr>
          <w:lang w:val="en-AU"/>
        </w:rPr>
        <w:t>/L in dogs; &gt;140</w:t>
      </w:r>
      <w:r>
        <w:rPr>
          <w:rFonts w:ascii="Times New Roman" w:hAnsi="Times New Roman" w:cs="Times New Roman"/>
          <w:lang w:val="en-AU"/>
        </w:rPr>
        <w:t>μ</w:t>
      </w:r>
      <w:r>
        <w:rPr>
          <w:lang w:val="en-AU"/>
        </w:rPr>
        <w:t xml:space="preserve">mol/L in cats) </w:t>
      </w:r>
      <w:r w:rsidRPr="004E60E8">
        <w:rPr>
          <w:b/>
          <w:bCs/>
          <w:lang w:val="en-AU"/>
        </w:rPr>
        <w:t>AND</w:t>
      </w:r>
      <w:r>
        <w:rPr>
          <w:lang w:val="en-AU"/>
        </w:rPr>
        <w:t xml:space="preserve"> increased SDMA (&gt;18 </w:t>
      </w:r>
      <w:proofErr w:type="spellStart"/>
      <w:r>
        <w:rPr>
          <w:rFonts w:ascii="Times New Roman" w:hAnsi="Times New Roman" w:cs="Times New Roman"/>
          <w:lang w:val="en-AU"/>
        </w:rPr>
        <w:t>μ</w:t>
      </w:r>
      <w:r>
        <w:rPr>
          <w:lang w:val="en-AU"/>
        </w:rPr>
        <w:t>g</w:t>
      </w:r>
      <w:proofErr w:type="spellEnd"/>
      <w:r>
        <w:rPr>
          <w:lang w:val="en-AU"/>
        </w:rPr>
        <w:t>/</w:t>
      </w:r>
      <w:proofErr w:type="spellStart"/>
      <w:r>
        <w:rPr>
          <w:lang w:val="en-AU"/>
        </w:rPr>
        <w:t>dL</w:t>
      </w:r>
      <w:proofErr w:type="spellEnd"/>
      <w:r>
        <w:rPr>
          <w:lang w:val="en-AU"/>
        </w:rPr>
        <w:t>).</w:t>
      </w:r>
    </w:p>
    <w:p w14:paraId="0BAD4C17" w14:textId="194F52CB" w:rsidR="004E60E8" w:rsidRDefault="004E60E8" w:rsidP="00152A0D">
      <w:pPr>
        <w:pStyle w:val="ListParagraph"/>
        <w:numPr>
          <w:ilvl w:val="0"/>
          <w:numId w:val="3"/>
        </w:numPr>
        <w:spacing w:after="120"/>
        <w:rPr>
          <w:lang w:val="en-AU"/>
        </w:rPr>
      </w:pPr>
      <w:r>
        <w:rPr>
          <w:lang w:val="en-AU"/>
        </w:rPr>
        <w:t>Poorly concentrated urine (&lt;1.030 in dogs; &lt;1.035 in cats).</w:t>
      </w:r>
    </w:p>
    <w:p w14:paraId="2549906D" w14:textId="5445D79D" w:rsidR="00975C77" w:rsidRDefault="00152A0D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65F2B8C3" wp14:editId="0D278ED0">
            <wp:extent cx="5918416" cy="40290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"/>
                    <a:stretch/>
                  </pic:blipFill>
                  <pic:spPr bwMode="auto">
                    <a:xfrm>
                      <a:off x="0" y="0"/>
                      <a:ext cx="5940419" cy="404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C77">
        <w:rPr>
          <w:lang w:val="en-AU"/>
        </w:rPr>
        <w:br w:type="page"/>
      </w:r>
    </w:p>
    <w:p w14:paraId="4D934214" w14:textId="7D145554" w:rsidR="00975C77" w:rsidRDefault="00975C77" w:rsidP="00975C77">
      <w:pPr>
        <w:pStyle w:val="Heading1"/>
        <w:rPr>
          <w:lang w:val="en-AU"/>
        </w:rPr>
      </w:pPr>
      <w:r>
        <w:rPr>
          <w:lang w:val="en-AU"/>
        </w:rPr>
        <w:lastRenderedPageBreak/>
        <w:t>Staging of CKD</w:t>
      </w:r>
    </w:p>
    <w:p w14:paraId="101A6643" w14:textId="1D19E0E8" w:rsidR="00975C77" w:rsidRDefault="00975C77" w:rsidP="00975C77">
      <w:pPr>
        <w:spacing w:after="0"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584ACB65" wp14:editId="22D089C2">
            <wp:extent cx="6858000" cy="5636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E579" w14:textId="6CA29483" w:rsidR="00975C77" w:rsidRDefault="00975C77" w:rsidP="00975C77">
      <w:pPr>
        <w:rPr>
          <w:sz w:val="16"/>
          <w:szCs w:val="16"/>
          <w:lang w:val="en-AU"/>
        </w:rPr>
      </w:pPr>
      <w:r w:rsidRPr="00975C77">
        <w:rPr>
          <w:b/>
          <w:bCs/>
          <w:sz w:val="16"/>
          <w:szCs w:val="16"/>
          <w:lang w:val="en-AU"/>
        </w:rPr>
        <w:t xml:space="preserve">Note: </w:t>
      </w:r>
      <w:r w:rsidRPr="00975C77">
        <w:rPr>
          <w:sz w:val="16"/>
          <w:szCs w:val="16"/>
          <w:lang w:val="en-AU"/>
        </w:rPr>
        <w:t>In the case of staging discrepancy between creatinine and SDMA, consider patient muscle mass and retesting both in 2–4 weeks.</w:t>
      </w:r>
      <w:r>
        <w:rPr>
          <w:sz w:val="16"/>
          <w:szCs w:val="16"/>
          <w:lang w:val="en-AU"/>
        </w:rPr>
        <w:br/>
      </w:r>
      <w:r w:rsidRPr="00975C77">
        <w:rPr>
          <w:sz w:val="16"/>
          <w:szCs w:val="16"/>
          <w:lang w:val="en-AU"/>
        </w:rPr>
        <w:t>If values are persistently discordant, consider assigning the patient to the higher stage.</w:t>
      </w:r>
    </w:p>
    <w:p w14:paraId="342864AB" w14:textId="03D0C48C" w:rsidR="00975C77" w:rsidRDefault="00975C77" w:rsidP="00975C77">
      <w:pPr>
        <w:pStyle w:val="Heading1"/>
        <w:rPr>
          <w:lang w:val="en-AU"/>
        </w:rPr>
      </w:pPr>
      <w:r>
        <w:rPr>
          <w:lang w:val="en-AU"/>
        </w:rPr>
        <w:lastRenderedPageBreak/>
        <w:t>Treatment</w:t>
      </w:r>
    </w:p>
    <w:p w14:paraId="7B10CF9A" w14:textId="0ECDBAAA" w:rsidR="00F32B36" w:rsidRPr="00F32B36" w:rsidRDefault="00F32B36" w:rsidP="00F32B36">
      <w:pPr>
        <w:pStyle w:val="Heading2"/>
        <w:rPr>
          <w:lang w:val="en-AU"/>
        </w:rPr>
      </w:pPr>
      <w:r>
        <w:rPr>
          <w:lang w:val="en-AU"/>
        </w:rPr>
        <w:t>General Treatment Guidelines:</w:t>
      </w:r>
    </w:p>
    <w:p w14:paraId="716EA2D3" w14:textId="5B5312D0" w:rsidR="00975C77" w:rsidRDefault="00975C77" w:rsidP="00975C77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377C4C7F" wp14:editId="65DA9217">
            <wp:extent cx="6029325" cy="6524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ACAA" w14:textId="77777777" w:rsidR="00367C68" w:rsidRDefault="00367C6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AU"/>
        </w:rPr>
      </w:pPr>
      <w:r>
        <w:rPr>
          <w:lang w:val="en-AU"/>
        </w:rPr>
        <w:br w:type="page"/>
      </w:r>
    </w:p>
    <w:p w14:paraId="5A2C4702" w14:textId="1E881CDE" w:rsidR="00C85B7B" w:rsidRDefault="00C85B7B" w:rsidP="00367C68">
      <w:pPr>
        <w:pStyle w:val="Heading2"/>
        <w:rPr>
          <w:lang w:val="en-AU"/>
        </w:rPr>
      </w:pPr>
      <w:proofErr w:type="spellStart"/>
      <w:r>
        <w:rPr>
          <w:lang w:val="en-AU"/>
        </w:rPr>
        <w:lastRenderedPageBreak/>
        <w:t>Gastroprotectants</w:t>
      </w:r>
      <w:proofErr w:type="spellEnd"/>
      <w:r>
        <w:rPr>
          <w:lang w:val="en-AU"/>
        </w:rPr>
        <w:t>, Anti-Emetics, &amp; Appetite Stimulants:</w:t>
      </w:r>
    </w:p>
    <w:p w14:paraId="08CE5F58" w14:textId="77777777" w:rsidR="00C85B7B" w:rsidRDefault="00C85B7B" w:rsidP="00C85B7B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1FDE07A0" wp14:editId="2FDC9C62">
            <wp:extent cx="6858000" cy="61899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41D0" w14:textId="77777777" w:rsidR="00C85B7B" w:rsidRDefault="00C85B7B">
      <w:pPr>
        <w:rPr>
          <w:lang w:val="en-AU"/>
        </w:rPr>
      </w:pPr>
      <w:r>
        <w:rPr>
          <w:lang w:val="en-AU"/>
        </w:rPr>
        <w:br w:type="page"/>
      </w:r>
    </w:p>
    <w:p w14:paraId="426216CA" w14:textId="4CE330D0" w:rsidR="00F32B36" w:rsidRDefault="00F32B36" w:rsidP="00F32B36">
      <w:pPr>
        <w:pStyle w:val="Heading2"/>
        <w:rPr>
          <w:lang w:val="en-AU"/>
        </w:rPr>
      </w:pPr>
      <w:r>
        <w:rPr>
          <w:lang w:val="en-AU"/>
        </w:rPr>
        <w:lastRenderedPageBreak/>
        <w:t>Hypertension Control:</w:t>
      </w:r>
    </w:p>
    <w:p w14:paraId="3678E2E6" w14:textId="78CA510E" w:rsidR="00F32B36" w:rsidRDefault="00F32B36" w:rsidP="00F32B36">
      <w:pPr>
        <w:pStyle w:val="Heading2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02164F58" wp14:editId="33EFE9C5">
            <wp:simplePos x="0" y="0"/>
            <wp:positionH relativeFrom="column">
              <wp:posOffset>3940195</wp:posOffset>
            </wp:positionH>
            <wp:positionV relativeFrom="paragraph">
              <wp:posOffset>23638</wp:posOffset>
            </wp:positionV>
            <wp:extent cx="3066352" cy="1701657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57" cy="172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571237C8" wp14:editId="6BA21B76">
            <wp:simplePos x="0" y="0"/>
            <wp:positionH relativeFrom="column">
              <wp:posOffset>3056255</wp:posOffset>
            </wp:positionH>
            <wp:positionV relativeFrom="paragraph">
              <wp:posOffset>5499735</wp:posOffset>
            </wp:positionV>
            <wp:extent cx="2658438" cy="803374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38" cy="80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0FE0433B" wp14:editId="783DEE62">
            <wp:simplePos x="0" y="0"/>
            <wp:positionH relativeFrom="column">
              <wp:posOffset>5137</wp:posOffset>
            </wp:positionH>
            <wp:positionV relativeFrom="paragraph">
              <wp:posOffset>5497195</wp:posOffset>
            </wp:positionV>
            <wp:extent cx="3012373" cy="324345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70" cy="324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B36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7CECB4" wp14:editId="2694F09C">
                <wp:simplePos x="0" y="0"/>
                <wp:positionH relativeFrom="column">
                  <wp:posOffset>25400</wp:posOffset>
                </wp:positionH>
                <wp:positionV relativeFrom="paragraph">
                  <wp:posOffset>4253173</wp:posOffset>
                </wp:positionV>
                <wp:extent cx="2518453" cy="7821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53" cy="78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7601" w14:textId="77777777" w:rsidR="00F32B36" w:rsidRPr="00F32B36" w:rsidRDefault="00F32B36" w:rsidP="00F32B36">
                            <w:pPr>
                              <w:spacing w:after="0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F32B36">
                              <w:rPr>
                                <w:b/>
                                <w:bCs/>
                                <w:lang w:val="en-AU"/>
                              </w:rPr>
                              <w:t>WCVH Choices:</w:t>
                            </w:r>
                          </w:p>
                          <w:p w14:paraId="48E6AFDB" w14:textId="5F58619C" w:rsidR="00F32B36" w:rsidRDefault="00F32B36" w:rsidP="00F32B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Amlodipine in cats.</w:t>
                            </w:r>
                          </w:p>
                          <w:p w14:paraId="5CA589CB" w14:textId="3D499523" w:rsidR="00F32B36" w:rsidRPr="00F32B36" w:rsidRDefault="00F32B36" w:rsidP="00F32B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Calcium channel blockers and/or ACE inhibitors in dogs.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CEC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pt;margin-top:334.9pt;width:198.3pt;height:6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" stroked="f">
                <v:textbox inset="0,0,0,0">
                  <w:txbxContent>
                    <w:p w14:paraId="5D3C7601" w14:textId="77777777" w:rsidR="00F32B36" w:rsidRPr="00F32B36" w:rsidRDefault="00F32B36" w:rsidP="00F32B36">
                      <w:pPr>
                        <w:spacing w:after="0"/>
                        <w:rPr>
                          <w:b/>
                          <w:bCs/>
                          <w:lang w:val="en-AU"/>
                        </w:rPr>
                      </w:pPr>
                      <w:r w:rsidRPr="00F32B36">
                        <w:rPr>
                          <w:b/>
                          <w:bCs/>
                          <w:lang w:val="en-AU"/>
                        </w:rPr>
                        <w:t>WCVH Choices:</w:t>
                      </w:r>
                    </w:p>
                    <w:p w14:paraId="48E6AFDB" w14:textId="5F58619C" w:rsidR="00F32B36" w:rsidRDefault="00F32B36" w:rsidP="00F32B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Amlodipine in cats.</w:t>
                      </w:r>
                    </w:p>
                    <w:p w14:paraId="5CA589CB" w14:textId="3D499523" w:rsidR="00F32B36" w:rsidRPr="00F32B36" w:rsidRDefault="00F32B36" w:rsidP="00F32B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Calcium channel blockers and/or ACE inhibitors in dogs.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 wp14:anchorId="1CF5B37F" wp14:editId="1448D4EC">
            <wp:extent cx="5660981" cy="501188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1" t="1396"/>
                    <a:stretch/>
                  </pic:blipFill>
                  <pic:spPr bwMode="auto">
                    <a:xfrm>
                      <a:off x="0" y="0"/>
                      <a:ext cx="5700928" cy="504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01E443B1" wp14:editId="67C5D254">
            <wp:extent cx="5660390" cy="31132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1119" cy="3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br w:type="page"/>
      </w:r>
    </w:p>
    <w:p w14:paraId="6436D288" w14:textId="5B0052E4" w:rsidR="00367C68" w:rsidRDefault="00C85B7B" w:rsidP="00C85B7B">
      <w:pPr>
        <w:pStyle w:val="Heading2"/>
        <w:rPr>
          <w:lang w:val="en-AU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746AE5D3" wp14:editId="5BCAF94A">
            <wp:simplePos x="0" y="0"/>
            <wp:positionH relativeFrom="column">
              <wp:posOffset>2973734</wp:posOffset>
            </wp:positionH>
            <wp:positionV relativeFrom="paragraph">
              <wp:posOffset>217690</wp:posOffset>
            </wp:positionV>
            <wp:extent cx="1190625" cy="9048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76C53415" wp14:editId="45B5DE8A">
            <wp:simplePos x="0" y="0"/>
            <wp:positionH relativeFrom="column">
              <wp:posOffset>4524976</wp:posOffset>
            </wp:positionH>
            <wp:positionV relativeFrom="paragraph">
              <wp:posOffset>220894</wp:posOffset>
            </wp:positionV>
            <wp:extent cx="2465104" cy="435110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"/>
                    <a:stretch/>
                  </pic:blipFill>
                  <pic:spPr bwMode="auto">
                    <a:xfrm>
                      <a:off x="0" y="0"/>
                      <a:ext cx="2486354" cy="43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68">
        <w:rPr>
          <w:lang w:val="en-AU"/>
        </w:rPr>
        <w:t>Phosphorus Control:</w:t>
      </w:r>
    </w:p>
    <w:p w14:paraId="4B22730D" w14:textId="2C3A02BC" w:rsidR="00367C68" w:rsidRPr="00C85B7B" w:rsidRDefault="00C85B7B" w:rsidP="00C85B7B">
      <w:pPr>
        <w:tabs>
          <w:tab w:val="left" w:pos="10048"/>
        </w:tabs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02A292BF" wp14:editId="18B0B410">
            <wp:simplePos x="0" y="0"/>
            <wp:positionH relativeFrom="column">
              <wp:posOffset>4547235</wp:posOffset>
            </wp:positionH>
            <wp:positionV relativeFrom="paragraph">
              <wp:posOffset>4362977</wp:posOffset>
            </wp:positionV>
            <wp:extent cx="2441932" cy="284103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32" cy="28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0852AFDD" wp14:editId="7FDC328E">
            <wp:simplePos x="0" y="0"/>
            <wp:positionH relativeFrom="column">
              <wp:posOffset>17780</wp:posOffset>
            </wp:positionH>
            <wp:positionV relativeFrom="paragraph">
              <wp:posOffset>4646331</wp:posOffset>
            </wp:positionV>
            <wp:extent cx="2453591" cy="779772"/>
            <wp:effectExtent l="0" t="0" r="444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91" cy="77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68">
        <w:rPr>
          <w:noProof/>
          <w:lang w:val="en-AU" w:eastAsia="en-AU"/>
        </w:rPr>
        <w:drawing>
          <wp:inline distT="0" distB="0" distL="0" distR="0" wp14:anchorId="6675D4C3" wp14:editId="2897991F">
            <wp:extent cx="4480312" cy="45797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772" cy="460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tab/>
      </w:r>
    </w:p>
    <w:p w14:paraId="60800E3D" w14:textId="6BC9588A" w:rsidR="00367C68" w:rsidRPr="00367C68" w:rsidRDefault="00367C68" w:rsidP="00367C68">
      <w:pPr>
        <w:rPr>
          <w:lang w:val="en-AU"/>
        </w:rPr>
      </w:pPr>
    </w:p>
    <w:p w14:paraId="6F619237" w14:textId="33D7C927" w:rsidR="00367C68" w:rsidRDefault="00C85B7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2FC8476C" wp14:editId="2DABEC3A">
            <wp:simplePos x="0" y="0"/>
            <wp:positionH relativeFrom="column">
              <wp:posOffset>5137</wp:posOffset>
            </wp:positionH>
            <wp:positionV relativeFrom="paragraph">
              <wp:posOffset>468850</wp:posOffset>
            </wp:positionV>
            <wp:extent cx="6986427" cy="3281032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162" cy="329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68">
        <w:rPr>
          <w:u w:val="single"/>
          <w:lang w:val="en-AU"/>
        </w:rPr>
        <w:br w:type="page"/>
      </w:r>
    </w:p>
    <w:p w14:paraId="54D6846B" w14:textId="5C880CCF" w:rsidR="00C85B7B" w:rsidRDefault="00C85B7B" w:rsidP="00C85B7B">
      <w:pPr>
        <w:pStyle w:val="Heading2"/>
        <w:rPr>
          <w:lang w:val="en-AU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654B510F" wp14:editId="739A6B4B">
            <wp:simplePos x="0" y="0"/>
            <wp:positionH relativeFrom="column">
              <wp:posOffset>3768696</wp:posOffset>
            </wp:positionH>
            <wp:positionV relativeFrom="paragraph">
              <wp:posOffset>220345</wp:posOffset>
            </wp:positionV>
            <wp:extent cx="1600200" cy="1409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AU"/>
        </w:rPr>
        <w:t>Proteinuria Control:</w:t>
      </w:r>
    </w:p>
    <w:p w14:paraId="1DF26F60" w14:textId="29CF3CB5" w:rsidR="00C85B7B" w:rsidRDefault="00F32B36" w:rsidP="00C85B7B">
      <w:pPr>
        <w:rPr>
          <w:lang w:val="en-AU"/>
        </w:rPr>
      </w:pPr>
      <w:r w:rsidRPr="00F32B36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ED869F" wp14:editId="3733309A">
                <wp:simplePos x="0" y="0"/>
                <wp:positionH relativeFrom="column">
                  <wp:posOffset>3765478</wp:posOffset>
                </wp:positionH>
                <wp:positionV relativeFrom="paragraph">
                  <wp:posOffset>1441471</wp:posOffset>
                </wp:positionV>
                <wp:extent cx="3321121" cy="1884024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121" cy="1884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F6905" w14:textId="45E35D3E" w:rsidR="00F32B36" w:rsidRPr="00F32B36" w:rsidRDefault="00F32B36" w:rsidP="00F32B36">
                            <w:pPr>
                              <w:spacing w:after="0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F32B36">
                              <w:rPr>
                                <w:b/>
                                <w:bCs/>
                                <w:lang w:val="en-AU"/>
                              </w:rPr>
                              <w:t>WCVH Choices:</w:t>
                            </w:r>
                          </w:p>
                          <w:p w14:paraId="48E8EA83" w14:textId="3E7CF814" w:rsidR="00F32B36" w:rsidRDefault="00F32B36" w:rsidP="00F32B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ACE inhibitors in dogs.</w:t>
                            </w:r>
                          </w:p>
                          <w:p w14:paraId="1211AD5A" w14:textId="23E0BA43" w:rsidR="00F32B36" w:rsidRDefault="00F32B36" w:rsidP="00F32B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lang w:val="en-AU"/>
                              </w:rPr>
                              <w:t>Semintra</w:t>
                            </w:r>
                            <w:proofErr w:type="spellEnd"/>
                            <w:r>
                              <w:rPr>
                                <w:lang w:val="en-AU"/>
                              </w:rPr>
                              <w:t xml:space="preserve"> in cats.</w:t>
                            </w:r>
                          </w:p>
                          <w:p w14:paraId="7F565369" w14:textId="706EC21D" w:rsidR="00F32B36" w:rsidRPr="00F32B36" w:rsidRDefault="00F32B36" w:rsidP="00F32B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Maintain hydration.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869F" id="_x0000_s1027" type="#_x0000_t202" style="position:absolute;margin-left:296.5pt;margin-top:113.5pt;width:261.5pt;height:14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" stroked="f">
                <v:textbox inset="0,0,0,0">
                  <w:txbxContent>
                    <w:p w14:paraId="2C3F6905" w14:textId="45E35D3E" w:rsidR="00F32B36" w:rsidRPr="00F32B36" w:rsidRDefault="00F32B36" w:rsidP="00F32B36">
                      <w:pPr>
                        <w:spacing w:after="0"/>
                        <w:rPr>
                          <w:b/>
                          <w:bCs/>
                          <w:lang w:val="en-AU"/>
                        </w:rPr>
                      </w:pPr>
                      <w:r w:rsidRPr="00F32B36">
                        <w:rPr>
                          <w:b/>
                          <w:bCs/>
                          <w:lang w:val="en-AU"/>
                        </w:rPr>
                        <w:t>WCVH Choices:</w:t>
                      </w:r>
                    </w:p>
                    <w:p w14:paraId="48E8EA83" w14:textId="3E7CF814" w:rsidR="00F32B36" w:rsidRDefault="00F32B36" w:rsidP="00F32B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ACE inhibitors in dogs.</w:t>
                      </w:r>
                    </w:p>
                    <w:p w14:paraId="1211AD5A" w14:textId="23E0BA43" w:rsidR="00F32B36" w:rsidRDefault="00F32B36" w:rsidP="00F32B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proofErr w:type="spellStart"/>
                      <w:r>
                        <w:rPr>
                          <w:lang w:val="en-AU"/>
                        </w:rPr>
                        <w:t>Semintra</w:t>
                      </w:r>
                      <w:proofErr w:type="spellEnd"/>
                      <w:r>
                        <w:rPr>
                          <w:lang w:val="en-AU"/>
                        </w:rPr>
                        <w:t xml:space="preserve"> in cats.</w:t>
                      </w:r>
                    </w:p>
                    <w:p w14:paraId="7F565369" w14:textId="706EC21D" w:rsidR="00F32B36" w:rsidRPr="00F32B36" w:rsidRDefault="00F32B36" w:rsidP="00F32B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Maintain hydration.</w:t>
                      </w:r>
                    </w:p>
                  </w:txbxContent>
                </v:textbox>
              </v:shape>
            </w:pict>
          </mc:Fallback>
        </mc:AlternateContent>
      </w:r>
      <w:r w:rsidR="00C85B7B">
        <w:rPr>
          <w:noProof/>
          <w:lang w:val="en-AU" w:eastAsia="en-AU"/>
        </w:rPr>
        <w:drawing>
          <wp:inline distT="0" distB="0" distL="0" distR="0" wp14:anchorId="24E78BB5" wp14:editId="438EBF9D">
            <wp:extent cx="4645706" cy="572270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0270" cy="57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A0D">
        <w:rPr>
          <w:noProof/>
          <w:lang w:val="en-AU" w:eastAsia="en-AU"/>
        </w:rPr>
        <w:drawing>
          <wp:inline distT="0" distB="0" distL="0" distR="0" wp14:anchorId="0E58AAC6" wp14:editId="7A9C1830">
            <wp:extent cx="6153150" cy="2833297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0137" cy="28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CD06" w14:textId="5158D45C" w:rsidR="00C85B7B" w:rsidRDefault="00C85B7B" w:rsidP="00C85B7B">
      <w:pPr>
        <w:pStyle w:val="Heading2"/>
        <w:rPr>
          <w:lang w:val="en-AU"/>
        </w:rPr>
      </w:pPr>
      <w:bookmarkStart w:id="0" w:name="_GoBack"/>
      <w:bookmarkEnd w:id="0"/>
      <w:r>
        <w:rPr>
          <w:lang w:val="en-AU"/>
        </w:rPr>
        <w:lastRenderedPageBreak/>
        <w:t>Erythrocyte-Stimulating Analogues:</w:t>
      </w:r>
    </w:p>
    <w:p w14:paraId="37CD5CFD" w14:textId="4F1725FD" w:rsidR="00C85B7B" w:rsidRPr="00C85B7B" w:rsidRDefault="00C85B7B" w:rsidP="00C85B7B">
      <w:pPr>
        <w:pStyle w:val="Heading2"/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11F2EC0F" wp14:editId="2F56AD5A">
            <wp:extent cx="5991225" cy="6257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 wp14:anchorId="46193A5E" wp14:editId="4CE80ABF">
            <wp:extent cx="5991225" cy="22633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3362" cy="2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AU"/>
        </w:rPr>
        <w:br w:type="page"/>
      </w:r>
    </w:p>
    <w:p w14:paraId="1D05A9DB" w14:textId="215BEC8D" w:rsidR="00975C77" w:rsidRDefault="00F32B36" w:rsidP="00975C77">
      <w:pPr>
        <w:pStyle w:val="Heading1"/>
        <w:rPr>
          <w:lang w:val="en-AU"/>
        </w:rPr>
      </w:pPr>
      <w:r>
        <w:rPr>
          <w:lang w:val="en-AU"/>
        </w:rPr>
        <w:lastRenderedPageBreak/>
        <w:t xml:space="preserve">CKD </w:t>
      </w:r>
      <w:r w:rsidR="00975C77">
        <w:rPr>
          <w:lang w:val="en-AU"/>
        </w:rPr>
        <w:t>Associated Disorders</w:t>
      </w:r>
    </w:p>
    <w:p w14:paraId="425586A4" w14:textId="2EC3965D" w:rsidR="00975C77" w:rsidRDefault="00975C77" w:rsidP="00975C77">
      <w:pPr>
        <w:pStyle w:val="Heading2"/>
        <w:rPr>
          <w:lang w:val="en-AU"/>
        </w:rPr>
      </w:pPr>
      <w:r>
        <w:rPr>
          <w:lang w:val="en-AU"/>
        </w:rPr>
        <w:t>Mineral &amp; Bone Disorder (Renal Secondary Hyperparathyroidism):</w:t>
      </w:r>
    </w:p>
    <w:p w14:paraId="0A297277" w14:textId="6CD329AA" w:rsidR="00975C77" w:rsidRDefault="00975C77" w:rsidP="00975C77">
      <w:pPr>
        <w:pStyle w:val="ListParagraph"/>
        <w:numPr>
          <w:ilvl w:val="0"/>
          <w:numId w:val="3"/>
        </w:numPr>
        <w:rPr>
          <w:lang w:val="en-AU"/>
        </w:rPr>
      </w:pPr>
      <w:r w:rsidRPr="00975C77">
        <w:rPr>
          <w:lang w:val="en-AU"/>
        </w:rPr>
        <w:t>As nephrons are lost &amp; renal function declines, the kidneys are less able to excrete phosphorus.</w:t>
      </w:r>
    </w:p>
    <w:p w14:paraId="7BF25118" w14:textId="22D54B45" w:rsidR="00975C77" w:rsidRDefault="00975C77" w:rsidP="00975C7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This alteration in calcium &amp; phosphorus homeostasis results in </w:t>
      </w:r>
      <w:r>
        <w:rPr>
          <w:rFonts w:cstheme="minorHAnsi"/>
          <w:lang w:val="en-AU"/>
        </w:rPr>
        <w:t>↑</w:t>
      </w:r>
      <w:r w:rsidR="002962E9">
        <w:rPr>
          <w:lang w:val="en-AU"/>
        </w:rPr>
        <w:t xml:space="preserve"> parathyroid hormone (PTH).</w:t>
      </w:r>
    </w:p>
    <w:p w14:paraId="6BB56111" w14:textId="75F9242A" w:rsidR="002962E9" w:rsidRDefault="002962E9" w:rsidP="00975C7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rFonts w:cstheme="minorHAnsi"/>
          <w:lang w:val="en-AU"/>
        </w:rPr>
        <w:t>↑</w:t>
      </w:r>
      <w:r>
        <w:rPr>
          <w:lang w:val="en-AU"/>
        </w:rPr>
        <w:t xml:space="preserve"> PTH, in the long term, results in metastatic mineralisation of soft tissues.</w:t>
      </w:r>
    </w:p>
    <w:p w14:paraId="71ED63A7" w14:textId="78DD93CE" w:rsidR="002962E9" w:rsidRDefault="002962E9" w:rsidP="00975C7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Avoid this by restricting phosphate in the diet of CKD animals.</w:t>
      </w:r>
    </w:p>
    <w:p w14:paraId="677C4E5A" w14:textId="5DDDF14B" w:rsidR="002962E9" w:rsidRDefault="002962E9" w:rsidP="002962E9">
      <w:pPr>
        <w:pStyle w:val="Heading2"/>
        <w:rPr>
          <w:lang w:val="en-AU"/>
        </w:rPr>
      </w:pPr>
      <w:r>
        <w:rPr>
          <w:lang w:val="en-AU"/>
        </w:rPr>
        <w:t>Systemic Hypertension:</w:t>
      </w:r>
    </w:p>
    <w:p w14:paraId="69A63F3A" w14:textId="03189A8C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Normally, kidneys are able to regulate the renal blood flow independently of systolic blood pressure – but only within systemic arterial pressures of 70-150 mmHg.</w:t>
      </w:r>
    </w:p>
    <w:p w14:paraId="61EDA38E" w14:textId="5DAA8B9D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Outside this range, the kidney can no longer maintain stable glomerular capillary pressures.</w:t>
      </w:r>
    </w:p>
    <w:p w14:paraId="72BAE7F7" w14:textId="386C857D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High glomerular pressure (glomerular hypertension) results in damage to the glomerulus (glomerulosclerosis) &amp; secondary proteinuria.</w:t>
      </w:r>
    </w:p>
    <w:p w14:paraId="3649E893" w14:textId="3E16374B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Avoid this by controlling systemic hypertension.</w:t>
      </w:r>
    </w:p>
    <w:p w14:paraId="7553FE00" w14:textId="501A9C5C" w:rsidR="002962E9" w:rsidRDefault="002962E9" w:rsidP="002962E9">
      <w:pPr>
        <w:pStyle w:val="Heading2"/>
        <w:rPr>
          <w:lang w:val="en-AU"/>
        </w:rPr>
      </w:pPr>
      <w:r>
        <w:rPr>
          <w:lang w:val="en-AU"/>
        </w:rPr>
        <w:t>Proteinuria:</w:t>
      </w:r>
    </w:p>
    <w:p w14:paraId="27ED5D46" w14:textId="3ED8CA29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Occurs in a low level in patients with tubulointerstitial nephritis.</w:t>
      </w:r>
    </w:p>
    <w:p w14:paraId="1DD06143" w14:textId="692F3D92" w:rsidR="002962E9" w:rsidRDefault="002962E9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Occurs at </w:t>
      </w:r>
      <w:r w:rsidR="00367C68">
        <w:rPr>
          <w:lang w:val="en-AU"/>
        </w:rPr>
        <w:t xml:space="preserve">a </w:t>
      </w:r>
      <w:r>
        <w:rPr>
          <w:lang w:val="en-AU"/>
        </w:rPr>
        <w:t>higher level in patients with glomerular damage.</w:t>
      </w:r>
    </w:p>
    <w:p w14:paraId="08F144B0" w14:textId="1709D716" w:rsidR="002962E9" w:rsidRDefault="00367C68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When proteins are able to pass through the glomerulus and into the proximal tubular cells, pro-inflammatory mediators are produced which promote tubulointerstitial inflammation.</w:t>
      </w:r>
    </w:p>
    <w:p w14:paraId="6F8D300B" w14:textId="290ABDFF" w:rsidR="00367C68" w:rsidRDefault="00367C68" w:rsidP="002962E9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Therefore, it is not just about controlling proteinuria to avoid protein loss, but also to avoid further damage to the kidneys.</w:t>
      </w:r>
    </w:p>
    <w:p w14:paraId="52B1ACCC" w14:textId="60F1F1DE" w:rsidR="00367C68" w:rsidRPr="00367C68" w:rsidRDefault="00367C68" w:rsidP="00367C68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Avoid this by feeding a reduced protein diet, supplementing diet with polyunsaturated fatty acid, and controlling hypertension.</w:t>
      </w:r>
    </w:p>
    <w:sectPr w:rsidR="00367C68" w:rsidRPr="00367C68" w:rsidSect="00975C77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65FCE" w14:textId="77777777" w:rsidR="00F4677C" w:rsidRDefault="00F4677C" w:rsidP="002962E9">
      <w:pPr>
        <w:spacing w:after="0" w:line="240" w:lineRule="auto"/>
      </w:pPr>
      <w:r>
        <w:separator/>
      </w:r>
    </w:p>
  </w:endnote>
  <w:endnote w:type="continuationSeparator" w:id="0">
    <w:p w14:paraId="4902BAA9" w14:textId="77777777" w:rsidR="00F4677C" w:rsidRDefault="00F4677C" w:rsidP="0029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10128" w14:textId="56FC6AAD" w:rsidR="002962E9" w:rsidRPr="002962E9" w:rsidRDefault="002962E9">
    <w:pPr>
      <w:pStyle w:val="Footer"/>
      <w:rPr>
        <w:sz w:val="20"/>
        <w:szCs w:val="20"/>
        <w:lang w:val="en-AU"/>
      </w:rPr>
    </w:pPr>
    <w:r>
      <w:rPr>
        <w:b/>
        <w:bCs/>
        <w:sz w:val="20"/>
        <w:szCs w:val="20"/>
        <w:lang w:val="en-AU"/>
      </w:rPr>
      <w:t xml:space="preserve">Sources: </w:t>
    </w:r>
    <w:r>
      <w:rPr>
        <w:sz w:val="20"/>
        <w:szCs w:val="20"/>
        <w:lang w:val="en-AU"/>
      </w:rPr>
      <w:t>Iris CKD Guidelines, accessed Oct 2020 | BSAVA Manual of Canine and Feline Nephrology and Urology, third edition,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7F7D0" w14:textId="77777777" w:rsidR="00F4677C" w:rsidRDefault="00F4677C" w:rsidP="002962E9">
      <w:pPr>
        <w:spacing w:after="0" w:line="240" w:lineRule="auto"/>
      </w:pPr>
      <w:r>
        <w:separator/>
      </w:r>
    </w:p>
  </w:footnote>
  <w:footnote w:type="continuationSeparator" w:id="0">
    <w:p w14:paraId="437CFBF9" w14:textId="77777777" w:rsidR="00F4677C" w:rsidRDefault="00F4677C" w:rsidP="00296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AA364" w14:textId="1C7D765F" w:rsidR="00A457EC" w:rsidRPr="00A457EC" w:rsidRDefault="00A457EC" w:rsidP="00A457EC">
    <w:pPr>
      <w:pStyle w:val="Header"/>
      <w:jc w:val="right"/>
      <w:rPr>
        <w:sz w:val="20"/>
        <w:szCs w:val="20"/>
        <w:lang w:val="en-AU"/>
      </w:rPr>
    </w:pPr>
    <w:r>
      <w:rPr>
        <w:sz w:val="20"/>
        <w:szCs w:val="20"/>
        <w:lang w:val="en-AU"/>
      </w:rPr>
      <w:t>Protocol - Chronic Kidney Disease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8790C"/>
    <w:multiLevelType w:val="multilevel"/>
    <w:tmpl w:val="8EC6B4FE"/>
    <w:styleLink w:val="SmallBorders"/>
    <w:lvl w:ilvl="0">
      <w:start w:val="1"/>
      <w:numFmt w:val="bullet"/>
      <w:lvlText w:val="▫"/>
      <w:lvlJc w:val="left"/>
      <w:pPr>
        <w:ind w:left="170" w:hanging="170"/>
      </w:pPr>
      <w:rPr>
        <w:rFonts w:ascii="Calibri" w:hAnsi="Calibri" w:hint="default"/>
        <w:sz w:val="20"/>
      </w:rPr>
    </w:lvl>
    <w:lvl w:ilvl="1">
      <w:start w:val="1"/>
      <w:numFmt w:val="bullet"/>
      <w:lvlText w:val="▪"/>
      <w:lvlJc w:val="left"/>
      <w:pPr>
        <w:tabs>
          <w:tab w:val="num" w:pos="1247"/>
        </w:tabs>
        <w:ind w:left="340" w:hanging="170"/>
      </w:pPr>
      <w:rPr>
        <w:rFonts w:ascii="Calibri" w:hAnsi="Calibri" w:hint="default"/>
        <w:sz w:val="18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Calibri" w:hAnsi="Calibri" w:hint="default"/>
        <w:sz w:val="16"/>
      </w:rPr>
    </w:lvl>
    <w:lvl w:ilvl="3">
      <w:start w:val="1"/>
      <w:numFmt w:val="bullet"/>
      <w:lvlText w:val="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1020" w:hanging="17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1" w15:restartNumberingAfterBreak="0">
    <w:nsid w:val="11632699"/>
    <w:multiLevelType w:val="hybridMultilevel"/>
    <w:tmpl w:val="B2CCCB0E"/>
    <w:lvl w:ilvl="0" w:tplc="38300BB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6FE33C2"/>
    <w:multiLevelType w:val="hybridMultilevel"/>
    <w:tmpl w:val="7E60AAB4"/>
    <w:lvl w:ilvl="0" w:tplc="357C63D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5CC35DE1"/>
    <w:multiLevelType w:val="hybridMultilevel"/>
    <w:tmpl w:val="7FB6FD7A"/>
    <w:lvl w:ilvl="0" w:tplc="4190B5F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BE542D1"/>
    <w:multiLevelType w:val="multilevel"/>
    <w:tmpl w:val="738AD67C"/>
    <w:styleLink w:val="Summaries"/>
    <w:lvl w:ilvl="0">
      <w:start w:val="1"/>
      <w:numFmt w:val="bullet"/>
      <w:lvlText w:val="▫"/>
      <w:lvlJc w:val="left"/>
      <w:pPr>
        <w:ind w:left="737" w:hanging="397"/>
      </w:pPr>
      <w:rPr>
        <w:rFonts w:ascii="Calibri" w:hAnsi="Calibri" w:hint="default"/>
      </w:rPr>
    </w:lvl>
    <w:lvl w:ilvl="1">
      <w:start w:val="1"/>
      <w:numFmt w:val="bullet"/>
      <w:lvlText w:val="▪"/>
      <w:lvlJc w:val="left"/>
      <w:pPr>
        <w:tabs>
          <w:tab w:val="num" w:pos="1247"/>
        </w:tabs>
        <w:ind w:left="1191" w:hanging="397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645" w:hanging="397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099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3" w:hanging="39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3007" w:hanging="397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ind w:left="3461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15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369" w:hanging="397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49"/>
    <w:rsid w:val="000824B2"/>
    <w:rsid w:val="000971D6"/>
    <w:rsid w:val="00106DB2"/>
    <w:rsid w:val="00152A0D"/>
    <w:rsid w:val="00245462"/>
    <w:rsid w:val="002962E9"/>
    <w:rsid w:val="002D5E07"/>
    <w:rsid w:val="00367C68"/>
    <w:rsid w:val="004E60E8"/>
    <w:rsid w:val="00975C77"/>
    <w:rsid w:val="00A457EC"/>
    <w:rsid w:val="00AC3249"/>
    <w:rsid w:val="00C85B7B"/>
    <w:rsid w:val="00CE04D2"/>
    <w:rsid w:val="00E9250F"/>
    <w:rsid w:val="00F32B36"/>
    <w:rsid w:val="00F4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6D3BE"/>
  <w15:chartTrackingRefBased/>
  <w15:docId w15:val="{F882337C-9697-4266-B47C-7D647E2C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A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ummaries">
    <w:name w:val="Summaries"/>
    <w:uiPriority w:val="99"/>
    <w:rsid w:val="00E9250F"/>
    <w:pPr>
      <w:numPr>
        <w:numId w:val="1"/>
      </w:numPr>
    </w:pPr>
  </w:style>
  <w:style w:type="numbering" w:customStyle="1" w:styleId="SmallBorders">
    <w:name w:val="Small Borders"/>
    <w:uiPriority w:val="99"/>
    <w:rsid w:val="000971D6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C32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324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324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152A0D"/>
    <w:rPr>
      <w:rFonts w:asciiTheme="majorHAnsi" w:eastAsiaTheme="majorEastAsia" w:hAnsiTheme="majorHAnsi" w:cstheme="majorBidi"/>
      <w:color w:val="2F5496" w:themeColor="accent1" w:themeShade="BF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C32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C3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324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D5E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2E9"/>
  </w:style>
  <w:style w:type="paragraph" w:styleId="Footer">
    <w:name w:val="footer"/>
    <w:basedOn w:val="Normal"/>
    <w:link w:val="FooterChar"/>
    <w:uiPriority w:val="99"/>
    <w:unhideWhenUsed/>
    <w:rsid w:val="00296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E4B08DD-E30E-42B6-B7A7-BB888EB9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van Veen</dc:creator>
  <cp:keywords/>
  <dc:description/>
  <cp:lastModifiedBy>1 62</cp:lastModifiedBy>
  <cp:revision>3</cp:revision>
  <dcterms:created xsi:type="dcterms:W3CDTF">2020-10-01T01:56:00Z</dcterms:created>
  <dcterms:modified xsi:type="dcterms:W3CDTF">2020-11-30T02:31:00Z</dcterms:modified>
</cp:coreProperties>
</file>